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bCs/>
          <w:sz w:val="24"/>
        </w:rPr>
      </w:pPr>
    </w:p>
    <w:p>
      <w:pPr>
        <w:spacing w:line="440" w:lineRule="exact"/>
        <w:jc w:val="center"/>
        <w:rPr>
          <w:rFonts w:hint="eastAsia" w:ascii="黑体" w:hAnsi="宋体" w:eastAsia="黑体"/>
          <w:sz w:val="30"/>
          <w:szCs w:val="30"/>
        </w:rPr>
      </w:pPr>
      <w:r>
        <w:rPr>
          <w:rFonts w:hint="eastAsia" w:ascii="黑体" w:hAnsi="宋体" w:eastAsia="黑体"/>
          <w:sz w:val="30"/>
          <w:szCs w:val="30"/>
        </w:rPr>
        <w:t>经    济    学    院</w:t>
      </w:r>
    </w:p>
    <w:p>
      <w:pPr>
        <w:spacing w:line="440" w:lineRule="exact"/>
        <w:jc w:val="center"/>
        <w:rPr>
          <w:rFonts w:hint="eastAsia" w:ascii="黑体" w:hAnsi="宋体" w:eastAsia="黑体"/>
          <w:sz w:val="36"/>
          <w:szCs w:val="36"/>
        </w:rPr>
      </w:pPr>
      <w:r>
        <w:rPr>
          <w:rFonts w:hint="eastAsia" w:ascii="黑体" w:hAnsi="宋体" w:eastAsia="黑体"/>
          <w:sz w:val="36"/>
          <w:szCs w:val="36"/>
        </w:rPr>
        <w:t>202</w:t>
      </w:r>
      <w:r>
        <w:rPr>
          <w:rFonts w:hint="eastAsia" w:ascii="黑体" w:hAnsi="宋体" w:eastAsia="黑体"/>
          <w:sz w:val="36"/>
          <w:szCs w:val="36"/>
          <w:lang w:val="en-US" w:eastAsia="zh-CN"/>
        </w:rPr>
        <w:t>3</w:t>
      </w:r>
      <w:r>
        <w:rPr>
          <w:rFonts w:hint="eastAsia" w:ascii="黑体" w:hAnsi="宋体" w:eastAsia="黑体"/>
          <w:sz w:val="36"/>
          <w:szCs w:val="36"/>
        </w:rPr>
        <w:t>届本科毕业环节管理办法</w:t>
      </w:r>
    </w:p>
    <w:p>
      <w:pPr>
        <w:spacing w:line="400" w:lineRule="exact"/>
        <w:ind w:firstLine="480" w:firstLineChars="200"/>
        <w:rPr>
          <w:rFonts w:hint="eastAsia" w:ascii="宋体" w:hAnsi="宋体"/>
          <w:sz w:val="24"/>
        </w:rPr>
      </w:pPr>
    </w:p>
    <w:p>
      <w:pPr>
        <w:spacing w:line="400" w:lineRule="exact"/>
        <w:ind w:firstLine="480" w:firstLineChars="200"/>
        <w:rPr>
          <w:rFonts w:eastAsia="仿宋_GB2312"/>
          <w:sz w:val="24"/>
        </w:rPr>
      </w:pPr>
      <w:r>
        <w:rPr>
          <w:rFonts w:eastAsia="仿宋_GB2312"/>
          <w:sz w:val="24"/>
        </w:rPr>
        <w:t>为加强我院毕业环节管理工作，保证本科各专业学生的毕业论文质量，根据学校关于毕业环节的相关管理规定及我院的实际情况，特制定本管理办法。</w:t>
      </w:r>
    </w:p>
    <w:p>
      <w:pPr>
        <w:spacing w:line="400" w:lineRule="exact"/>
        <w:rPr>
          <w:rFonts w:eastAsia="仿宋_GB2312"/>
          <w:b/>
          <w:sz w:val="24"/>
        </w:rPr>
      </w:pPr>
      <w:r>
        <w:rPr>
          <w:rFonts w:eastAsia="仿宋_GB2312"/>
          <w:b/>
          <w:sz w:val="24"/>
        </w:rPr>
        <w:t>一、毕业环节准备阶段及资格审查</w:t>
      </w:r>
    </w:p>
    <w:p>
      <w:pPr>
        <w:spacing w:line="400" w:lineRule="exact"/>
        <w:ind w:firstLine="480" w:firstLineChars="200"/>
        <w:rPr>
          <w:rFonts w:eastAsia="仿宋_GB2312"/>
          <w:sz w:val="24"/>
        </w:rPr>
      </w:pPr>
      <w:r>
        <w:rPr>
          <w:rFonts w:eastAsia="仿宋_GB2312"/>
          <w:sz w:val="24"/>
        </w:rPr>
        <w:t>以系为单位，对各专业学生进行毕业环节动员，并分配毕业论文指导教师，学生在指导教师指导下完成开题报告。</w:t>
      </w:r>
    </w:p>
    <w:p>
      <w:pPr>
        <w:spacing w:line="400" w:lineRule="exact"/>
        <w:ind w:firstLine="480" w:firstLineChars="200"/>
        <w:rPr>
          <w:rFonts w:eastAsia="仿宋_GB2312"/>
          <w:sz w:val="24"/>
        </w:rPr>
      </w:pPr>
      <w:r>
        <w:rPr>
          <w:rFonts w:eastAsia="仿宋_GB2312"/>
          <w:sz w:val="24"/>
        </w:rPr>
        <w:t>进入毕业环节的学生，须达到学校各阶段规定的学分要求（详见《</w:t>
      </w:r>
      <w:r>
        <w:rPr>
          <w:rFonts w:hint="eastAsia" w:eastAsia="仿宋_GB2312"/>
          <w:sz w:val="24"/>
          <w:lang w:eastAsia="zh-CN"/>
        </w:rPr>
        <w:t>2023</w:t>
      </w:r>
      <w:r>
        <w:rPr>
          <w:rFonts w:eastAsia="仿宋_GB2312"/>
          <w:sz w:val="24"/>
        </w:rPr>
        <w:t>届毕业生学业告知书》）；未达到学分要求的，不能进入毕业环节。</w:t>
      </w:r>
    </w:p>
    <w:p>
      <w:pPr>
        <w:spacing w:line="400" w:lineRule="exact"/>
        <w:rPr>
          <w:rFonts w:eastAsia="仿宋_GB2312"/>
          <w:b/>
          <w:sz w:val="24"/>
        </w:rPr>
      </w:pPr>
      <w:r>
        <w:rPr>
          <w:rFonts w:eastAsia="仿宋_GB2312"/>
          <w:b/>
          <w:sz w:val="24"/>
        </w:rPr>
        <w:t>二、毕业实习阶段</w:t>
      </w:r>
    </w:p>
    <w:p>
      <w:pPr>
        <w:spacing w:line="400" w:lineRule="exact"/>
        <w:ind w:firstLine="480" w:firstLineChars="200"/>
        <w:rPr>
          <w:rFonts w:eastAsia="仿宋_GB2312"/>
          <w:sz w:val="24"/>
        </w:rPr>
      </w:pPr>
      <w:r>
        <w:rPr>
          <w:rFonts w:eastAsia="仿宋_GB2312"/>
          <w:sz w:val="24"/>
        </w:rPr>
        <w:t>在毕业实习期间，学生应严格遵守学校及实习单位的各项规章制度，并与指导教师保持密切联系（至少每周主动联系一次），随时汇报实习进展情况及论文准备情况，认真、虚心听取指导教师意见；并作好周记或日记（实习时间在四周或四周以上的，撰写实习周记；实习时间在四周以下的，撰写实习日记），实习结束后撰写实习报告。返校时将</w:t>
      </w:r>
      <w:r>
        <w:rPr>
          <w:rFonts w:eastAsia="仿宋_GB2312"/>
          <w:b/>
          <w:sz w:val="24"/>
        </w:rPr>
        <w:t>实习周记（日记）</w:t>
      </w:r>
      <w:r>
        <w:rPr>
          <w:rFonts w:eastAsia="仿宋_GB2312"/>
          <w:sz w:val="24"/>
        </w:rPr>
        <w:t>、</w:t>
      </w:r>
      <w:r>
        <w:rPr>
          <w:rFonts w:eastAsia="仿宋_GB2312"/>
          <w:b/>
          <w:sz w:val="24"/>
        </w:rPr>
        <w:t>实习报告及实习单位鉴定、</w:t>
      </w:r>
      <w:r>
        <w:rPr>
          <w:rFonts w:eastAsia="仿宋_GB2312"/>
          <w:b/>
          <w:color w:val="FF0000"/>
          <w:sz w:val="24"/>
        </w:rPr>
        <w:t>就业协议或用人单位证明</w:t>
      </w:r>
      <w:r>
        <w:rPr>
          <w:rFonts w:eastAsia="仿宋_GB2312"/>
          <w:color w:val="FF0000"/>
          <w:sz w:val="24"/>
        </w:rPr>
        <w:t>等</w:t>
      </w:r>
      <w:r>
        <w:rPr>
          <w:rFonts w:eastAsia="仿宋_GB2312"/>
          <w:sz w:val="24"/>
        </w:rPr>
        <w:t>一并交指导教师处，作为评定实习成绩的基本依据。</w:t>
      </w:r>
    </w:p>
    <w:p>
      <w:pPr>
        <w:spacing w:line="400" w:lineRule="exact"/>
        <w:ind w:firstLine="480" w:firstLineChars="200"/>
        <w:rPr>
          <w:rFonts w:eastAsia="仿宋_GB2312"/>
          <w:sz w:val="24"/>
        </w:rPr>
      </w:pPr>
      <w:r>
        <w:rPr>
          <w:rFonts w:eastAsia="仿宋_GB2312"/>
          <w:sz w:val="24"/>
        </w:rPr>
        <w:t>毕业实习结束后，学生应在规定时间内到学院进行报到注册，并主动到论文指导教师处报到。</w:t>
      </w:r>
    </w:p>
    <w:p>
      <w:pPr>
        <w:spacing w:line="400" w:lineRule="exact"/>
        <w:rPr>
          <w:rFonts w:eastAsia="仿宋_GB2312"/>
          <w:b/>
          <w:sz w:val="24"/>
        </w:rPr>
      </w:pPr>
      <w:r>
        <w:rPr>
          <w:rFonts w:eastAsia="仿宋_GB2312"/>
          <w:b/>
          <w:sz w:val="24"/>
        </w:rPr>
        <w:t>三、毕业论文撰写阶段的要求</w:t>
      </w:r>
    </w:p>
    <w:p>
      <w:pPr>
        <w:spacing w:line="400" w:lineRule="exact"/>
        <w:ind w:firstLine="472" w:firstLineChars="196"/>
        <w:rPr>
          <w:rFonts w:eastAsia="仿宋_GB2312"/>
          <w:b/>
          <w:sz w:val="24"/>
        </w:rPr>
      </w:pPr>
      <w:r>
        <w:rPr>
          <w:rFonts w:eastAsia="仿宋_GB2312"/>
          <w:b/>
          <w:sz w:val="24"/>
        </w:rPr>
        <w:t>（一）总体要求</w:t>
      </w:r>
    </w:p>
    <w:p>
      <w:pPr>
        <w:spacing w:line="400" w:lineRule="exact"/>
        <w:ind w:firstLine="480" w:firstLineChars="200"/>
        <w:rPr>
          <w:rFonts w:eastAsia="仿宋_GB2312"/>
          <w:sz w:val="24"/>
        </w:rPr>
      </w:pPr>
      <w:r>
        <w:rPr>
          <w:rFonts w:eastAsia="仿宋_GB2312"/>
          <w:sz w:val="24"/>
        </w:rPr>
        <w:t>1.所有进入毕业环节的学生必须在毕业论文指导教师指导下，严格按照毕业论文写作规范要求进行论文的撰写工作。</w:t>
      </w:r>
    </w:p>
    <w:p>
      <w:pPr>
        <w:spacing w:line="400" w:lineRule="exact"/>
        <w:ind w:firstLine="480" w:firstLineChars="200"/>
        <w:rPr>
          <w:rFonts w:eastAsia="仿宋_GB2312"/>
          <w:sz w:val="24"/>
        </w:rPr>
      </w:pPr>
      <w:r>
        <w:rPr>
          <w:rFonts w:eastAsia="仿宋_GB2312"/>
          <w:sz w:val="24"/>
        </w:rPr>
        <w:t>2.毕业论文撰写工作原则上应在校内完成，此间学生应严格遵守学校及学院的各项规章制度。在校内做论文的学生，原则上不允许离校，如有特殊情况需要外出者，须履行请假手续。请事假三天以内（含三天）、病假七天以内（含七天）者，必须提出书面申请，经毕业论文指导教师和辅导员签字同意后才能离校，请假单交辅导员保存，回校后在辅导员处销假；请事假三天以上、病假七天以上者，请假单需指导教师和辅导员签字同意，交主管副院长批准后方能生效，请假单交辅导员保存，回校后在辅导员处销假。如有违反规定的学生，指导教师、辅导员应及时上报系、学院进行处理。</w:t>
      </w:r>
    </w:p>
    <w:p>
      <w:pPr>
        <w:spacing w:line="400" w:lineRule="exact"/>
        <w:ind w:firstLine="480" w:firstLineChars="200"/>
        <w:rPr>
          <w:rFonts w:eastAsia="仿宋_GB2312"/>
          <w:sz w:val="24"/>
        </w:rPr>
      </w:pPr>
      <w:r>
        <w:rPr>
          <w:rFonts w:eastAsia="仿宋_GB2312"/>
          <w:sz w:val="24"/>
        </w:rPr>
        <w:t>3.各系应组织指导教师、</w:t>
      </w:r>
      <w:r>
        <w:rPr>
          <w:rFonts w:hint="eastAsia" w:eastAsia="仿宋_GB2312"/>
          <w:sz w:val="24"/>
        </w:rPr>
        <w:t>学术</w:t>
      </w:r>
      <w:r>
        <w:rPr>
          <w:rFonts w:eastAsia="仿宋_GB2312"/>
          <w:sz w:val="24"/>
        </w:rPr>
        <w:t>办组织教学管理人员、学工办组织学生管理人员、指导教师组织学生认真学习学校、学院相关规定并严格执行，对每一项工作中出现的问题及时处理，不能处理的及时向上级汇报，不得无视或隐瞒，否则按学校及学院的相关规章制度进行处理。</w:t>
      </w:r>
    </w:p>
    <w:p>
      <w:pPr>
        <w:spacing w:line="400" w:lineRule="exact"/>
        <w:ind w:firstLine="480" w:firstLineChars="200"/>
        <w:rPr>
          <w:rFonts w:eastAsia="仿宋_GB2312"/>
          <w:sz w:val="24"/>
        </w:rPr>
      </w:pPr>
      <w:r>
        <w:rPr>
          <w:rFonts w:eastAsia="仿宋_GB2312"/>
          <w:sz w:val="24"/>
        </w:rPr>
        <w:t>4.学生如确有需要在校外做毕业论文，必须按照规定办理手续后方可执行，并应按学院规定按时、保质保量地完成各项工作。</w:t>
      </w:r>
    </w:p>
    <w:p>
      <w:pPr>
        <w:spacing w:line="400" w:lineRule="exact"/>
        <w:ind w:firstLine="480" w:firstLineChars="200"/>
        <w:rPr>
          <w:rFonts w:eastAsia="仿宋_GB2312"/>
          <w:sz w:val="24"/>
        </w:rPr>
      </w:pPr>
      <w:r>
        <w:rPr>
          <w:rFonts w:eastAsia="仿宋_GB2312"/>
          <w:sz w:val="24"/>
        </w:rPr>
        <w:t>（1）申请条件：申请时已签订就业协议（劳动合同），且用人单位要求其在该单位继续工作的学生。</w:t>
      </w:r>
    </w:p>
    <w:p>
      <w:pPr>
        <w:spacing w:line="400" w:lineRule="exact"/>
        <w:ind w:firstLine="480" w:firstLineChars="200"/>
        <w:rPr>
          <w:rFonts w:eastAsia="仿宋_GB2312"/>
          <w:sz w:val="24"/>
        </w:rPr>
      </w:pPr>
      <w:r>
        <w:rPr>
          <w:rFonts w:eastAsia="仿宋_GB2312"/>
          <w:sz w:val="24"/>
        </w:rPr>
        <w:t>（2）申请时间：</w:t>
      </w:r>
      <w:r>
        <w:rPr>
          <w:rFonts w:hint="eastAsia" w:eastAsia="仿宋_GB2312"/>
          <w:color w:val="auto"/>
          <w:sz w:val="24"/>
          <w:lang w:eastAsia="zh-CN"/>
        </w:rPr>
        <w:t>2023</w:t>
      </w:r>
      <w:r>
        <w:rPr>
          <w:rFonts w:hint="eastAsia" w:eastAsia="仿宋_GB2312"/>
          <w:color w:val="auto"/>
          <w:sz w:val="24"/>
        </w:rPr>
        <w:t>年3月2</w:t>
      </w:r>
      <w:r>
        <w:rPr>
          <w:rFonts w:hint="eastAsia" w:eastAsia="仿宋_GB2312"/>
          <w:color w:val="auto"/>
          <w:sz w:val="24"/>
          <w:lang w:val="en-US" w:eastAsia="zh-CN"/>
        </w:rPr>
        <w:t>7</w:t>
      </w:r>
      <w:r>
        <w:rPr>
          <w:rFonts w:hint="eastAsia" w:eastAsia="仿宋_GB2312"/>
          <w:color w:val="auto"/>
          <w:sz w:val="24"/>
        </w:rPr>
        <w:t>日-3</w:t>
      </w:r>
      <w:r>
        <w:rPr>
          <w:rFonts w:hint="eastAsia" w:eastAsia="仿宋_GB2312"/>
          <w:color w:val="auto"/>
          <w:sz w:val="24"/>
          <w:lang w:val="en-US" w:eastAsia="zh-CN"/>
        </w:rPr>
        <w:t>1</w:t>
      </w:r>
      <w:bookmarkStart w:id="0" w:name="_GoBack"/>
      <w:bookmarkEnd w:id="0"/>
      <w:r>
        <w:rPr>
          <w:rFonts w:hint="eastAsia" w:eastAsia="仿宋_GB2312"/>
          <w:color w:val="auto"/>
          <w:sz w:val="24"/>
        </w:rPr>
        <w:t>日</w:t>
      </w:r>
      <w:r>
        <w:rPr>
          <w:rFonts w:hint="eastAsia" w:eastAsia="仿宋_GB2312"/>
          <w:sz w:val="24"/>
        </w:rPr>
        <w:t>，</w:t>
      </w:r>
      <w:r>
        <w:rPr>
          <w:rFonts w:eastAsia="仿宋_GB2312"/>
          <w:sz w:val="24"/>
        </w:rPr>
        <w:t>逾期不再办理。</w:t>
      </w:r>
    </w:p>
    <w:p>
      <w:pPr>
        <w:spacing w:line="400" w:lineRule="exact"/>
        <w:ind w:firstLine="480" w:firstLineChars="200"/>
        <w:rPr>
          <w:rFonts w:eastAsia="仿宋_GB2312"/>
          <w:sz w:val="24"/>
        </w:rPr>
      </w:pPr>
      <w:r>
        <w:rPr>
          <w:rFonts w:eastAsia="仿宋_GB2312"/>
          <w:sz w:val="24"/>
        </w:rPr>
        <w:t>（3）申请程序及相关手续。</w:t>
      </w:r>
    </w:p>
    <w:p>
      <w:pPr>
        <w:spacing w:line="400" w:lineRule="exact"/>
        <w:ind w:firstLine="480" w:firstLineChars="200"/>
        <w:rPr>
          <w:rFonts w:eastAsia="仿宋_GB2312"/>
          <w:sz w:val="24"/>
        </w:rPr>
      </w:pPr>
      <w:r>
        <w:rPr>
          <w:rFonts w:eastAsia="仿宋_GB2312"/>
          <w:sz w:val="24"/>
        </w:rPr>
        <w:t>凡申请校外做毕业论文的学生须备齐以下材料：</w:t>
      </w:r>
    </w:p>
    <w:p>
      <w:pPr>
        <w:spacing w:line="400" w:lineRule="exact"/>
        <w:ind w:firstLine="480"/>
        <w:rPr>
          <w:rFonts w:eastAsia="仿宋_GB2312"/>
          <w:sz w:val="24"/>
        </w:rPr>
      </w:pPr>
      <w:r>
        <w:rPr>
          <w:rFonts w:eastAsia="仿宋_GB2312"/>
          <w:sz w:val="24"/>
        </w:rPr>
        <w:t>①校外论文申请表、安全责任书；</w:t>
      </w:r>
    </w:p>
    <w:p>
      <w:pPr>
        <w:spacing w:line="400" w:lineRule="exact"/>
        <w:ind w:firstLine="480" w:firstLineChars="200"/>
        <w:rPr>
          <w:rFonts w:eastAsia="仿宋_GB2312"/>
          <w:color w:val="FF0000"/>
          <w:sz w:val="24"/>
        </w:rPr>
      </w:pPr>
      <w:r>
        <w:rPr>
          <w:rFonts w:eastAsia="仿宋_GB2312"/>
          <w:sz w:val="24"/>
        </w:rPr>
        <w:t>②就业协议或劳动合同的复印件，以及用人单位要求学生在该单位继续工作的证明（加盖公章）</w:t>
      </w:r>
      <w:r>
        <w:rPr>
          <w:rFonts w:hint="eastAsia" w:eastAsia="仿宋_GB2312"/>
          <w:sz w:val="24"/>
        </w:rPr>
        <w:t>。</w:t>
      </w:r>
    </w:p>
    <w:p>
      <w:pPr>
        <w:spacing w:line="400" w:lineRule="exact"/>
        <w:ind w:firstLine="480" w:firstLineChars="200"/>
        <w:rPr>
          <w:rFonts w:eastAsia="仿宋_GB2312"/>
          <w:sz w:val="24"/>
        </w:rPr>
      </w:pPr>
      <w:r>
        <w:rPr>
          <w:rFonts w:eastAsia="仿宋_GB2312"/>
          <w:sz w:val="24"/>
        </w:rPr>
        <w:t>申请材料经毕业论文指导教师签字（签于《校外论文申请表》上）后统一交到教学办，待学院毕业论文</w:t>
      </w:r>
      <w:r>
        <w:rPr>
          <w:rFonts w:hint="eastAsia" w:eastAsia="仿宋_GB2312"/>
          <w:sz w:val="24"/>
        </w:rPr>
        <w:t>指导委员会</w:t>
      </w:r>
      <w:r>
        <w:rPr>
          <w:rFonts w:eastAsia="仿宋_GB2312"/>
          <w:sz w:val="24"/>
        </w:rPr>
        <w:t>在规定时间审批后，方可在校外完成论文的撰写工作。</w:t>
      </w:r>
    </w:p>
    <w:p>
      <w:pPr>
        <w:spacing w:line="400" w:lineRule="exact"/>
        <w:ind w:firstLine="480" w:firstLineChars="200"/>
        <w:rPr>
          <w:rFonts w:eastAsia="仿宋_GB2312"/>
          <w:sz w:val="24"/>
        </w:rPr>
      </w:pPr>
      <w:r>
        <w:rPr>
          <w:rFonts w:eastAsia="仿宋_GB2312"/>
          <w:sz w:val="24"/>
        </w:rPr>
        <w:t>如材料不齐、不符合要求、逾期未提交申请或申请未通过审批者，均不得在校外撰写毕业论文，须立即返校，如未按时返校则按旷课处理。</w:t>
      </w:r>
    </w:p>
    <w:p>
      <w:pPr>
        <w:spacing w:line="400" w:lineRule="exact"/>
        <w:ind w:firstLine="480" w:firstLineChars="200"/>
        <w:rPr>
          <w:rFonts w:eastAsia="仿宋_GB2312"/>
          <w:sz w:val="24"/>
        </w:rPr>
      </w:pPr>
      <w:r>
        <w:rPr>
          <w:rFonts w:eastAsia="仿宋_GB2312"/>
          <w:sz w:val="24"/>
        </w:rPr>
        <w:t>（4）对校外毕业论文的管理</w:t>
      </w:r>
    </w:p>
    <w:p>
      <w:pPr>
        <w:spacing w:line="400" w:lineRule="exact"/>
        <w:ind w:firstLine="480" w:firstLineChars="200"/>
        <w:rPr>
          <w:rFonts w:eastAsia="仿宋_GB2312"/>
          <w:sz w:val="24"/>
        </w:rPr>
      </w:pPr>
      <w:r>
        <w:rPr>
          <w:rFonts w:eastAsia="仿宋_GB2312"/>
          <w:sz w:val="24"/>
        </w:rPr>
        <w:t>①校外毕业论文的选题必须与用人单位实际工作相联系，不得选取与实际工作无关的题目撰写论文。如确有需要，需提出申请，经毕业论文指导教师同意，学院毕业论文指导委员会审批通过后方可选取其他题目，否则毕业论文作不及格处理。</w:t>
      </w:r>
    </w:p>
    <w:p>
      <w:pPr>
        <w:spacing w:line="400" w:lineRule="exact"/>
        <w:ind w:firstLine="480" w:firstLineChars="200"/>
        <w:rPr>
          <w:rFonts w:eastAsia="仿宋_GB2312"/>
          <w:sz w:val="24"/>
        </w:rPr>
      </w:pPr>
      <w:r>
        <w:rPr>
          <w:rFonts w:eastAsia="仿宋_GB2312"/>
          <w:sz w:val="24"/>
        </w:rPr>
        <w:t>②在校外做毕业论文的学生必须遵守用人单位的各项规章制度，必须定期与毕业论文指导教师联系（至少每周一次），接受指导，并严格按照毕业论文规范进行论文写作。</w:t>
      </w:r>
    </w:p>
    <w:p>
      <w:pPr>
        <w:spacing w:line="400" w:lineRule="exact"/>
        <w:ind w:firstLine="480" w:firstLineChars="200"/>
        <w:rPr>
          <w:rFonts w:eastAsia="仿宋_GB2312"/>
          <w:sz w:val="24"/>
        </w:rPr>
      </w:pPr>
      <w:r>
        <w:rPr>
          <w:rFonts w:eastAsia="仿宋_GB2312"/>
          <w:sz w:val="24"/>
        </w:rPr>
        <w:t>③各系应严格控制校外论文人数（</w:t>
      </w:r>
      <w:r>
        <w:rPr>
          <w:rFonts w:eastAsia="仿宋_GB2312"/>
          <w:b/>
          <w:sz w:val="24"/>
        </w:rPr>
        <w:t>校外论文人数不得超过本专业学生人数的25%</w:t>
      </w:r>
      <w:r>
        <w:rPr>
          <w:rFonts w:eastAsia="仿宋_GB2312"/>
          <w:sz w:val="24"/>
        </w:rPr>
        <w:t>），把握校外论文质量。</w:t>
      </w:r>
    </w:p>
    <w:p>
      <w:pPr>
        <w:spacing w:line="400" w:lineRule="exact"/>
        <w:ind w:firstLine="482" w:firstLineChars="200"/>
        <w:rPr>
          <w:rFonts w:eastAsia="仿宋_GB2312"/>
          <w:b/>
          <w:sz w:val="24"/>
        </w:rPr>
      </w:pPr>
      <w:r>
        <w:rPr>
          <w:rFonts w:eastAsia="仿宋_GB2312"/>
          <w:b/>
          <w:sz w:val="24"/>
        </w:rPr>
        <w:t>（二）论文开题阶段的要求</w:t>
      </w:r>
    </w:p>
    <w:p>
      <w:pPr>
        <w:spacing w:line="400" w:lineRule="exact"/>
        <w:ind w:firstLine="480" w:firstLineChars="200"/>
        <w:rPr>
          <w:rFonts w:eastAsia="仿宋_GB2312"/>
          <w:sz w:val="24"/>
        </w:rPr>
      </w:pPr>
      <w:r>
        <w:rPr>
          <w:rFonts w:eastAsia="仿宋_GB2312"/>
          <w:sz w:val="24"/>
        </w:rPr>
        <w:t>1.学生应在规定时间内确定论文题目，论文题目原则上应结合学生所学专业或实习情况确立。论文选题应理论联系实际、注重现实意义，不能出现纯理论的选题；应勤于思索、富有创新性；难易适中、大小适度。</w:t>
      </w:r>
    </w:p>
    <w:p>
      <w:pPr>
        <w:spacing w:line="400" w:lineRule="exact"/>
        <w:ind w:firstLine="480" w:firstLineChars="200"/>
        <w:rPr>
          <w:rFonts w:eastAsia="仿宋_GB2312"/>
          <w:sz w:val="24"/>
        </w:rPr>
      </w:pPr>
      <w:r>
        <w:rPr>
          <w:rFonts w:eastAsia="仿宋_GB2312"/>
          <w:sz w:val="24"/>
        </w:rPr>
        <w:t>2.各系所有指导教师在规定时间内，将所指导学生的毕业论文题目汇总到系（跨专业指导教师则应将题目汇总到学生所在专业的系）。</w:t>
      </w:r>
    </w:p>
    <w:p>
      <w:pPr>
        <w:spacing w:line="400" w:lineRule="exact"/>
        <w:ind w:firstLine="480" w:firstLineChars="200"/>
        <w:rPr>
          <w:rFonts w:eastAsia="仿宋_GB2312"/>
          <w:sz w:val="24"/>
        </w:rPr>
      </w:pPr>
      <w:r>
        <w:rPr>
          <w:rFonts w:eastAsia="仿宋_GB2312"/>
          <w:sz w:val="24"/>
        </w:rPr>
        <w:t>3.各系组织学生完成学生的开题答辩。系应组织教师通过对所有题目进行预审来确定开题报告学生名单，主要针对题目重复、过大、过小、理论性过强、有歧义等问题者进行开题。</w:t>
      </w:r>
      <w:r>
        <w:rPr>
          <w:rFonts w:eastAsia="仿宋_GB2312"/>
          <w:b/>
          <w:bCs/>
          <w:sz w:val="24"/>
        </w:rPr>
        <w:t>开题报告人数原则上不低于该专业学生总数的30%，同时应涉及到每个指导教师。</w:t>
      </w:r>
      <w:r>
        <w:rPr>
          <w:rFonts w:eastAsia="仿宋_GB2312"/>
          <w:sz w:val="24"/>
        </w:rPr>
        <w:t>开题答辩以分组方式进行，为保证开题效果和质量，各小组答辩教师不得少于3人，并认真作好答辩记录。对开题过程中出现的各种问题，学生可与开题目小组教师进行沟通交流，虚心接受教师意见，并及时与指导教师联系加以调整，按时按要求完成相应的工作。开题报告过程出现的问题请及时向学院毕业论文指导委员会汇报，以便及时解决。开题答辩完成后，各系将情况汇总，写出“开题答辩总结”，与开题答辩记录一并交到教学办存档。</w:t>
      </w:r>
    </w:p>
    <w:p>
      <w:pPr>
        <w:spacing w:line="400" w:lineRule="exact"/>
        <w:ind w:firstLine="482" w:firstLineChars="200"/>
        <w:rPr>
          <w:rFonts w:eastAsia="仿宋_GB2312"/>
          <w:b/>
          <w:sz w:val="24"/>
        </w:rPr>
      </w:pPr>
      <w:r>
        <w:rPr>
          <w:rFonts w:eastAsia="仿宋_GB2312"/>
          <w:b/>
          <w:sz w:val="24"/>
        </w:rPr>
        <w:t>（三）论文指导阶段的要求</w:t>
      </w:r>
    </w:p>
    <w:p>
      <w:pPr>
        <w:spacing w:line="400" w:lineRule="exact"/>
        <w:ind w:firstLine="480" w:firstLineChars="200"/>
        <w:rPr>
          <w:rFonts w:eastAsia="仿宋_GB2312"/>
          <w:sz w:val="24"/>
        </w:rPr>
      </w:pPr>
      <w:r>
        <w:rPr>
          <w:rFonts w:eastAsia="仿宋_GB2312"/>
          <w:sz w:val="24"/>
        </w:rPr>
        <w:t>1.学生应在毕业论文指导教师的指导下，认真查阅文献，积极完成论文，严禁抄袭。学生应积极与指导教师保持联系，至少每周主动与指导教师联系一次，汇报论文完成进度和撰写过程中遇到的问题，及时加以解决。</w:t>
      </w:r>
    </w:p>
    <w:p>
      <w:pPr>
        <w:spacing w:line="400" w:lineRule="exact"/>
        <w:ind w:firstLine="480" w:firstLineChars="200"/>
        <w:rPr>
          <w:rFonts w:eastAsia="仿宋_GB2312"/>
          <w:sz w:val="24"/>
        </w:rPr>
      </w:pPr>
      <w:r>
        <w:rPr>
          <w:rFonts w:eastAsia="仿宋_GB2312"/>
          <w:sz w:val="24"/>
        </w:rPr>
        <w:t>2.指导教师应加强对学生论文的过程指导。对于在校内做论文的学生，指导教师每周至少与学生见面一次，对本阶段论文进展情况进行检查，并对下一阶段工作进行布置和安排；对于在校外做论文的学生，指导教师除要求学生必须严格遵守学校、学院及工作单位的各项规章制度外，每周至少应与学生通过邮件、电话等形式联系一次，并协同校外指导教师指导、督促学生认真完成论文的撰写工作，并作好记录。论文完成后同时应要求校外指导教师对论文提出相应的评定意见，作为评定学生过程成绩的依据之一。每次指导完毕后，学生如实填写《毕业论文指导过程记录表》。</w:t>
      </w:r>
    </w:p>
    <w:p>
      <w:pPr>
        <w:spacing w:line="400" w:lineRule="exact"/>
        <w:ind w:firstLine="480" w:firstLineChars="200"/>
        <w:rPr>
          <w:rFonts w:eastAsia="仿宋_GB2312"/>
          <w:sz w:val="24"/>
        </w:rPr>
      </w:pPr>
      <w:r>
        <w:rPr>
          <w:rFonts w:eastAsia="仿宋_GB2312"/>
          <w:sz w:val="24"/>
        </w:rPr>
        <w:t>3.指导教师应加强对学生论文格式规范和内容质量的全面监控，对学生论文提出修改意见，杜绝出现只重视格式规范而忽视质量或只重视质量而忽视格式的情况。同时杜绝抄袭现象，消除低级错误。</w:t>
      </w:r>
    </w:p>
    <w:p>
      <w:pPr>
        <w:spacing w:line="400" w:lineRule="exact"/>
        <w:ind w:firstLine="480" w:firstLineChars="200"/>
        <w:rPr>
          <w:rFonts w:eastAsia="仿宋_GB2312"/>
          <w:sz w:val="24"/>
        </w:rPr>
      </w:pPr>
      <w:r>
        <w:rPr>
          <w:rFonts w:eastAsia="仿宋_GB2312"/>
          <w:sz w:val="24"/>
        </w:rPr>
        <w:t>4.对学生在论文撰写过程中出现的各种问题，指导教师应及时上报系或学院毕业论文指导委员会及时处理。</w:t>
      </w:r>
    </w:p>
    <w:p>
      <w:pPr>
        <w:spacing w:line="400" w:lineRule="exact"/>
        <w:ind w:firstLine="482" w:firstLineChars="200"/>
        <w:rPr>
          <w:rFonts w:eastAsia="仿宋_GB2312"/>
          <w:b/>
          <w:sz w:val="24"/>
        </w:rPr>
      </w:pPr>
      <w:r>
        <w:rPr>
          <w:rFonts w:eastAsia="仿宋_GB2312"/>
          <w:b/>
          <w:sz w:val="24"/>
        </w:rPr>
        <w:t>（四）毕业论文的提交</w:t>
      </w:r>
    </w:p>
    <w:p>
      <w:pPr>
        <w:spacing w:line="400" w:lineRule="exact"/>
        <w:ind w:firstLine="480" w:firstLineChars="200"/>
        <w:rPr>
          <w:rFonts w:eastAsia="仿宋_GB2312"/>
          <w:sz w:val="24"/>
        </w:rPr>
      </w:pPr>
      <w:r>
        <w:rPr>
          <w:rFonts w:eastAsia="仿宋_GB2312"/>
          <w:sz w:val="24"/>
        </w:rPr>
        <w:t>学生必须在规定时间内将毕业论文纸质材料（详见《</w:t>
      </w:r>
      <w:r>
        <w:rPr>
          <w:rFonts w:hint="eastAsia" w:eastAsia="仿宋_GB2312"/>
          <w:sz w:val="24"/>
          <w:lang w:eastAsia="zh-CN"/>
        </w:rPr>
        <w:t>2023</w:t>
      </w:r>
      <w:r>
        <w:rPr>
          <w:rFonts w:eastAsia="仿宋_GB2312"/>
          <w:sz w:val="24"/>
        </w:rPr>
        <w:t>届毕业论文材料归档说明》）、要求填写的各种表格以及相关资料的电子文档交到指导教师处，同时进行论文答辩准备工作。</w:t>
      </w:r>
    </w:p>
    <w:p>
      <w:pPr>
        <w:pStyle w:val="3"/>
        <w:spacing w:line="400" w:lineRule="exact"/>
        <w:ind w:firstLine="472" w:firstLineChars="196"/>
        <w:rPr>
          <w:rFonts w:eastAsia="仿宋_GB2312"/>
          <w:b/>
          <w:sz w:val="24"/>
        </w:rPr>
      </w:pPr>
      <w:r>
        <w:rPr>
          <w:rFonts w:eastAsia="仿宋_GB2312"/>
          <w:b/>
          <w:sz w:val="24"/>
        </w:rPr>
        <w:t>（五）毕业论文的评审及答辩阶段</w:t>
      </w:r>
    </w:p>
    <w:p>
      <w:pPr>
        <w:pStyle w:val="3"/>
        <w:spacing w:line="400" w:lineRule="exact"/>
        <w:ind w:firstLine="470" w:firstLineChars="196"/>
        <w:rPr>
          <w:rFonts w:eastAsia="仿宋_GB2312"/>
          <w:sz w:val="24"/>
        </w:rPr>
      </w:pPr>
      <w:r>
        <w:rPr>
          <w:rFonts w:eastAsia="仿宋_GB2312"/>
          <w:sz w:val="24"/>
        </w:rPr>
        <w:t>1.具体时间待定。</w:t>
      </w:r>
    </w:p>
    <w:p>
      <w:pPr>
        <w:pStyle w:val="3"/>
        <w:spacing w:line="400" w:lineRule="exact"/>
        <w:ind w:firstLine="470" w:firstLineChars="196"/>
        <w:rPr>
          <w:rFonts w:eastAsia="仿宋_GB2312"/>
          <w:sz w:val="24"/>
        </w:rPr>
      </w:pPr>
      <w:r>
        <w:rPr>
          <w:rFonts w:eastAsia="仿宋_GB2312"/>
          <w:sz w:val="24"/>
        </w:rPr>
        <w:t>2.评审阶段和答辩阶段的要求将作为本管理办法的补充规定另行通知。</w:t>
      </w:r>
    </w:p>
    <w:p>
      <w:pPr>
        <w:spacing w:line="360" w:lineRule="exact"/>
        <w:ind w:firstLine="480"/>
        <w:rPr>
          <w:rFonts w:eastAsia="仿宋_GB2312"/>
          <w:sz w:val="24"/>
        </w:rPr>
      </w:pPr>
      <w:r>
        <w:rPr>
          <w:rFonts w:eastAsia="仿宋_GB2312"/>
          <w:sz w:val="24"/>
        </w:rPr>
        <w:t>3.毕业论文成绩构成见下表</w:t>
      </w:r>
    </w:p>
    <w:tbl>
      <w:tblPr>
        <w:tblStyle w:val="6"/>
        <w:tblpPr w:leftFromText="180" w:rightFromText="180" w:vertAnchor="text" w:horzAnchor="page" w:tblpX="2370"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1485"/>
        <w:gridCol w:w="669"/>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noWrap w:val="0"/>
            <w:vAlign w:val="top"/>
          </w:tcPr>
          <w:p>
            <w:pPr>
              <w:spacing w:line="360" w:lineRule="exact"/>
              <w:jc w:val="center"/>
              <w:rPr>
                <w:b/>
                <w:bCs/>
                <w:szCs w:val="21"/>
              </w:rPr>
            </w:pPr>
            <w:r>
              <w:rPr>
                <w:b/>
                <w:bCs/>
                <w:szCs w:val="21"/>
              </w:rPr>
              <w:t>成绩构成</w:t>
            </w:r>
          </w:p>
        </w:tc>
        <w:tc>
          <w:tcPr>
            <w:tcW w:w="1485" w:type="dxa"/>
            <w:noWrap w:val="0"/>
            <w:vAlign w:val="top"/>
          </w:tcPr>
          <w:p>
            <w:pPr>
              <w:spacing w:line="360" w:lineRule="exact"/>
              <w:jc w:val="center"/>
              <w:rPr>
                <w:b/>
                <w:bCs/>
                <w:szCs w:val="21"/>
              </w:rPr>
            </w:pPr>
            <w:r>
              <w:rPr>
                <w:b/>
                <w:bCs/>
                <w:szCs w:val="21"/>
              </w:rPr>
              <w:t>评定人</w:t>
            </w:r>
          </w:p>
        </w:tc>
        <w:tc>
          <w:tcPr>
            <w:tcW w:w="669" w:type="dxa"/>
            <w:noWrap w:val="0"/>
            <w:vAlign w:val="top"/>
          </w:tcPr>
          <w:p>
            <w:pPr>
              <w:spacing w:line="360" w:lineRule="exact"/>
              <w:jc w:val="center"/>
              <w:rPr>
                <w:b/>
                <w:bCs/>
                <w:szCs w:val="21"/>
              </w:rPr>
            </w:pPr>
            <w:r>
              <w:rPr>
                <w:b/>
                <w:bCs/>
                <w:szCs w:val="21"/>
              </w:rPr>
              <w:t>比例</w:t>
            </w:r>
          </w:p>
        </w:tc>
        <w:tc>
          <w:tcPr>
            <w:tcW w:w="2070" w:type="dxa"/>
            <w:noWrap w:val="0"/>
            <w:vAlign w:val="top"/>
          </w:tcPr>
          <w:p>
            <w:pPr>
              <w:spacing w:line="36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noWrap w:val="0"/>
            <w:vAlign w:val="top"/>
          </w:tcPr>
          <w:p>
            <w:pPr>
              <w:spacing w:line="360" w:lineRule="exact"/>
              <w:rPr>
                <w:szCs w:val="21"/>
              </w:rPr>
            </w:pPr>
            <w:r>
              <w:rPr>
                <w:szCs w:val="21"/>
              </w:rPr>
              <w:t>过程成绩（毕业实习、论文质量）</w:t>
            </w:r>
          </w:p>
        </w:tc>
        <w:tc>
          <w:tcPr>
            <w:tcW w:w="1485" w:type="dxa"/>
            <w:noWrap w:val="0"/>
            <w:vAlign w:val="top"/>
          </w:tcPr>
          <w:p>
            <w:pPr>
              <w:spacing w:line="360" w:lineRule="exact"/>
              <w:rPr>
                <w:szCs w:val="21"/>
              </w:rPr>
            </w:pPr>
            <w:r>
              <w:rPr>
                <w:szCs w:val="21"/>
              </w:rPr>
              <w:t>指导教师</w:t>
            </w:r>
          </w:p>
        </w:tc>
        <w:tc>
          <w:tcPr>
            <w:tcW w:w="669" w:type="dxa"/>
            <w:noWrap w:val="0"/>
            <w:vAlign w:val="top"/>
          </w:tcPr>
          <w:p>
            <w:pPr>
              <w:spacing w:line="360" w:lineRule="exact"/>
              <w:rPr>
                <w:szCs w:val="21"/>
              </w:rPr>
            </w:pPr>
            <w:r>
              <w:rPr>
                <w:szCs w:val="21"/>
              </w:rPr>
              <w:t>40%</w:t>
            </w:r>
          </w:p>
        </w:tc>
        <w:tc>
          <w:tcPr>
            <w:tcW w:w="2070" w:type="dxa"/>
            <w:vMerge w:val="restart"/>
            <w:noWrap w:val="0"/>
            <w:vAlign w:val="center"/>
          </w:tcPr>
          <w:p>
            <w:pPr>
              <w:spacing w:line="360" w:lineRule="exact"/>
              <w:jc w:val="center"/>
              <w:rPr>
                <w:szCs w:val="21"/>
              </w:rPr>
            </w:pPr>
            <w:r>
              <w:rPr>
                <w:szCs w:val="21"/>
              </w:rPr>
              <w:t>毕业论文最终成绩（分值换算成等级）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noWrap w:val="0"/>
            <w:vAlign w:val="top"/>
          </w:tcPr>
          <w:p>
            <w:pPr>
              <w:spacing w:line="360" w:lineRule="exact"/>
              <w:rPr>
                <w:szCs w:val="21"/>
              </w:rPr>
            </w:pPr>
            <w:r>
              <w:rPr>
                <w:szCs w:val="21"/>
              </w:rPr>
              <w:t>评阅成绩</w:t>
            </w:r>
          </w:p>
        </w:tc>
        <w:tc>
          <w:tcPr>
            <w:tcW w:w="1485" w:type="dxa"/>
            <w:noWrap w:val="0"/>
            <w:vAlign w:val="top"/>
          </w:tcPr>
          <w:p>
            <w:pPr>
              <w:spacing w:line="360" w:lineRule="exact"/>
              <w:rPr>
                <w:szCs w:val="21"/>
              </w:rPr>
            </w:pPr>
            <w:r>
              <w:rPr>
                <w:szCs w:val="21"/>
              </w:rPr>
              <w:t>评阅老师</w:t>
            </w:r>
          </w:p>
        </w:tc>
        <w:tc>
          <w:tcPr>
            <w:tcW w:w="669" w:type="dxa"/>
            <w:noWrap w:val="0"/>
            <w:vAlign w:val="top"/>
          </w:tcPr>
          <w:p>
            <w:pPr>
              <w:spacing w:line="360" w:lineRule="exact"/>
              <w:rPr>
                <w:szCs w:val="21"/>
              </w:rPr>
            </w:pPr>
            <w:r>
              <w:rPr>
                <w:szCs w:val="21"/>
              </w:rPr>
              <w:t>30%</w:t>
            </w:r>
          </w:p>
        </w:tc>
        <w:tc>
          <w:tcPr>
            <w:tcW w:w="2070" w:type="dxa"/>
            <w:vMerge w:val="continue"/>
            <w:noWrap w:val="0"/>
            <w:vAlign w:val="top"/>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noWrap w:val="0"/>
            <w:vAlign w:val="top"/>
          </w:tcPr>
          <w:p>
            <w:pPr>
              <w:spacing w:line="360" w:lineRule="exact"/>
              <w:rPr>
                <w:szCs w:val="21"/>
              </w:rPr>
            </w:pPr>
            <w:r>
              <w:rPr>
                <w:szCs w:val="21"/>
              </w:rPr>
              <w:t>答辩成绩</w:t>
            </w:r>
          </w:p>
        </w:tc>
        <w:tc>
          <w:tcPr>
            <w:tcW w:w="1485" w:type="dxa"/>
            <w:noWrap w:val="0"/>
            <w:vAlign w:val="top"/>
          </w:tcPr>
          <w:p>
            <w:pPr>
              <w:spacing w:line="360" w:lineRule="exact"/>
              <w:rPr>
                <w:szCs w:val="21"/>
              </w:rPr>
            </w:pPr>
            <w:r>
              <w:rPr>
                <w:szCs w:val="21"/>
              </w:rPr>
              <w:t>答辩教师小组</w:t>
            </w:r>
          </w:p>
        </w:tc>
        <w:tc>
          <w:tcPr>
            <w:tcW w:w="669" w:type="dxa"/>
            <w:noWrap w:val="0"/>
            <w:vAlign w:val="top"/>
          </w:tcPr>
          <w:p>
            <w:pPr>
              <w:spacing w:line="360" w:lineRule="exact"/>
              <w:rPr>
                <w:szCs w:val="21"/>
              </w:rPr>
            </w:pPr>
            <w:r>
              <w:rPr>
                <w:szCs w:val="21"/>
              </w:rPr>
              <w:t>30%</w:t>
            </w:r>
          </w:p>
        </w:tc>
        <w:tc>
          <w:tcPr>
            <w:tcW w:w="2070" w:type="dxa"/>
            <w:vMerge w:val="continue"/>
            <w:noWrap w:val="0"/>
            <w:vAlign w:val="top"/>
          </w:tcPr>
          <w:p>
            <w:pPr>
              <w:spacing w:line="360" w:lineRule="exact"/>
              <w:rPr>
                <w:szCs w:val="21"/>
              </w:rPr>
            </w:pPr>
          </w:p>
        </w:tc>
      </w:tr>
    </w:tbl>
    <w:p>
      <w:pPr>
        <w:spacing w:line="360" w:lineRule="exact"/>
        <w:ind w:firstLine="480"/>
        <w:rPr>
          <w:rFonts w:eastAsia="仿宋_GB2312"/>
          <w:sz w:val="24"/>
        </w:rPr>
      </w:pPr>
    </w:p>
    <w:p>
      <w:pPr>
        <w:pStyle w:val="3"/>
        <w:spacing w:line="400" w:lineRule="exact"/>
        <w:ind w:firstLine="0" w:firstLineChars="0"/>
        <w:rPr>
          <w:rFonts w:eastAsia="仿宋_GB2312"/>
          <w:b/>
          <w:sz w:val="24"/>
        </w:rPr>
      </w:pPr>
      <w:r>
        <w:rPr>
          <w:rFonts w:eastAsia="仿宋_GB2312"/>
          <w:b/>
          <w:sz w:val="24"/>
        </w:rPr>
        <w:t xml:space="preserve">    </w:t>
      </w:r>
    </w:p>
    <w:p>
      <w:pPr>
        <w:pStyle w:val="3"/>
        <w:spacing w:line="400" w:lineRule="exact"/>
        <w:ind w:firstLine="0" w:firstLineChars="0"/>
        <w:rPr>
          <w:rFonts w:eastAsia="仿宋_GB2312"/>
          <w:b/>
          <w:sz w:val="24"/>
        </w:rPr>
      </w:pPr>
    </w:p>
    <w:p>
      <w:pPr>
        <w:pStyle w:val="3"/>
        <w:spacing w:line="400" w:lineRule="exact"/>
        <w:ind w:firstLine="0" w:firstLineChars="0"/>
        <w:rPr>
          <w:rFonts w:eastAsia="仿宋_GB2312"/>
          <w:b/>
          <w:sz w:val="24"/>
        </w:rPr>
      </w:pPr>
    </w:p>
    <w:p>
      <w:pPr>
        <w:pStyle w:val="3"/>
        <w:spacing w:line="400" w:lineRule="exact"/>
        <w:ind w:firstLine="0" w:firstLineChars="0"/>
        <w:rPr>
          <w:rFonts w:eastAsia="仿宋_GB2312"/>
          <w:b/>
          <w:sz w:val="24"/>
        </w:rPr>
      </w:pPr>
      <w:r>
        <w:rPr>
          <w:rFonts w:eastAsia="仿宋_GB2312"/>
          <w:b/>
          <w:sz w:val="24"/>
        </w:rPr>
        <w:t xml:space="preserve">    四、指导老师应在毕业环节各阶段加强对学生的指导和管理工作，如有问题应及时向系或学院毕业论文指导委员会报告，以便及时解决。</w:t>
      </w:r>
    </w:p>
    <w:p>
      <w:pPr>
        <w:pStyle w:val="3"/>
        <w:spacing w:line="400" w:lineRule="exact"/>
        <w:ind w:firstLine="470" w:firstLineChars="196"/>
        <w:jc w:val="center"/>
        <w:rPr>
          <w:rFonts w:eastAsia="仿宋_GB2312"/>
          <w:sz w:val="24"/>
        </w:rPr>
      </w:pPr>
      <w:r>
        <w:rPr>
          <w:rFonts w:eastAsia="仿宋_GB2312"/>
          <w:sz w:val="24"/>
        </w:rPr>
        <w:t xml:space="preserve">                                 </w:t>
      </w:r>
    </w:p>
    <w:p>
      <w:pPr>
        <w:pStyle w:val="3"/>
        <w:spacing w:line="400" w:lineRule="exact"/>
        <w:ind w:firstLine="470" w:firstLineChars="196"/>
        <w:jc w:val="center"/>
        <w:rPr>
          <w:rFonts w:eastAsia="仿宋_GB2312"/>
          <w:sz w:val="24"/>
        </w:rPr>
      </w:pPr>
      <w:r>
        <w:rPr>
          <w:rFonts w:eastAsia="仿宋_GB2312"/>
          <w:sz w:val="24"/>
        </w:rPr>
        <w:t xml:space="preserve">                                                         经济学院</w:t>
      </w:r>
    </w:p>
    <w:p>
      <w:pPr>
        <w:pStyle w:val="3"/>
        <w:spacing w:line="400" w:lineRule="exact"/>
        <w:ind w:firstLine="470" w:firstLineChars="196"/>
        <w:jc w:val="right"/>
        <w:rPr>
          <w:rFonts w:hint="eastAsia" w:ascii="仿宋_GB2312" w:hAnsi="宋体" w:eastAsia="仿宋_GB2312"/>
          <w:sz w:val="24"/>
        </w:rPr>
      </w:pPr>
      <w:r>
        <w:rPr>
          <w:rFonts w:eastAsia="仿宋_GB2312"/>
          <w:sz w:val="24"/>
        </w:rPr>
        <w:t xml:space="preserve">            20</w:t>
      </w:r>
      <w:r>
        <w:rPr>
          <w:rFonts w:hint="eastAsia" w:eastAsia="仿宋_GB2312"/>
          <w:sz w:val="24"/>
        </w:rPr>
        <w:t>2</w:t>
      </w:r>
      <w:r>
        <w:rPr>
          <w:rFonts w:hint="eastAsia" w:eastAsia="仿宋_GB2312"/>
          <w:sz w:val="24"/>
          <w:lang w:val="en-US" w:eastAsia="zh-CN"/>
        </w:rPr>
        <w:t>2</w:t>
      </w:r>
      <w:r>
        <w:rPr>
          <w:rFonts w:eastAsia="仿宋_GB2312"/>
          <w:sz w:val="24"/>
        </w:rPr>
        <w:t>年1</w:t>
      </w:r>
      <w:r>
        <w:rPr>
          <w:rFonts w:hint="eastAsia" w:eastAsia="仿宋_GB2312"/>
          <w:sz w:val="24"/>
        </w:rPr>
        <w:t>2</w:t>
      </w:r>
      <w:r>
        <w:rPr>
          <w:rFonts w:eastAsia="仿宋_GB2312"/>
          <w:sz w:val="24"/>
        </w:rPr>
        <w:t>月1</w:t>
      </w:r>
      <w:r>
        <w:rPr>
          <w:rFonts w:hint="eastAsia" w:eastAsia="仿宋_GB2312"/>
          <w:sz w:val="24"/>
          <w:lang w:val="en-US" w:eastAsia="zh-CN"/>
        </w:rPr>
        <w:t>6</w:t>
      </w:r>
      <w:r>
        <w:rPr>
          <w:rFonts w:eastAsia="仿宋_GB2312"/>
          <w:sz w:val="24"/>
        </w:rPr>
        <w:t>日</w:t>
      </w:r>
    </w:p>
    <w:p>
      <w:pPr>
        <w:spacing w:line="400" w:lineRule="exact"/>
        <w:rPr>
          <w:rFonts w:ascii="宋体" w:hAnsi="宋体"/>
          <w:sz w:val="24"/>
        </w:rPr>
      </w:pPr>
    </w:p>
    <w:sectPr>
      <w:headerReference r:id="rId3" w:type="default"/>
      <w:pgSz w:w="11906" w:h="16838"/>
      <w:pgMar w:top="851" w:right="1304"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jI3YmFiOTQ0ZTBlNjZhYmY1MWQwODkwMjU4OWIifQ=="/>
  </w:docVars>
  <w:rsids>
    <w:rsidRoot w:val="00172A27"/>
    <w:rsid w:val="00010550"/>
    <w:rsid w:val="00017635"/>
    <w:rsid w:val="001638A2"/>
    <w:rsid w:val="001A0304"/>
    <w:rsid w:val="00291D0F"/>
    <w:rsid w:val="002D7201"/>
    <w:rsid w:val="003273B4"/>
    <w:rsid w:val="0040092F"/>
    <w:rsid w:val="00400B01"/>
    <w:rsid w:val="0040119F"/>
    <w:rsid w:val="00473FBB"/>
    <w:rsid w:val="00563E29"/>
    <w:rsid w:val="005A38AF"/>
    <w:rsid w:val="005F3F6A"/>
    <w:rsid w:val="00602122"/>
    <w:rsid w:val="006125A3"/>
    <w:rsid w:val="00623BEA"/>
    <w:rsid w:val="006457A5"/>
    <w:rsid w:val="006F450A"/>
    <w:rsid w:val="0077633B"/>
    <w:rsid w:val="00800CFB"/>
    <w:rsid w:val="0081399A"/>
    <w:rsid w:val="008A0BEF"/>
    <w:rsid w:val="0092363B"/>
    <w:rsid w:val="0093383A"/>
    <w:rsid w:val="00972FD2"/>
    <w:rsid w:val="00A44B5C"/>
    <w:rsid w:val="00AA41A9"/>
    <w:rsid w:val="00AE6180"/>
    <w:rsid w:val="00AF5743"/>
    <w:rsid w:val="00B21D5F"/>
    <w:rsid w:val="00B2344B"/>
    <w:rsid w:val="00B26446"/>
    <w:rsid w:val="00B80932"/>
    <w:rsid w:val="00CB4DBD"/>
    <w:rsid w:val="00CD408F"/>
    <w:rsid w:val="00DC3F05"/>
    <w:rsid w:val="00E00FA7"/>
    <w:rsid w:val="00E20A0C"/>
    <w:rsid w:val="00E91BC0"/>
    <w:rsid w:val="00E92EBE"/>
    <w:rsid w:val="00FF0B57"/>
    <w:rsid w:val="00FF647F"/>
    <w:rsid w:val="01637178"/>
    <w:rsid w:val="01BC1097"/>
    <w:rsid w:val="01D846D1"/>
    <w:rsid w:val="028A1293"/>
    <w:rsid w:val="02C22CFB"/>
    <w:rsid w:val="02C753F3"/>
    <w:rsid w:val="035C1F84"/>
    <w:rsid w:val="04C70527"/>
    <w:rsid w:val="05623D5D"/>
    <w:rsid w:val="05D517AD"/>
    <w:rsid w:val="068071E1"/>
    <w:rsid w:val="08D438B5"/>
    <w:rsid w:val="09186D31"/>
    <w:rsid w:val="0A6328A9"/>
    <w:rsid w:val="0B9925A8"/>
    <w:rsid w:val="0BC17458"/>
    <w:rsid w:val="0BFA42E4"/>
    <w:rsid w:val="0DBE75F9"/>
    <w:rsid w:val="0DC10978"/>
    <w:rsid w:val="0E3B0984"/>
    <w:rsid w:val="0F431176"/>
    <w:rsid w:val="0FBE5661"/>
    <w:rsid w:val="10651D1D"/>
    <w:rsid w:val="11AD5EB6"/>
    <w:rsid w:val="123E46B0"/>
    <w:rsid w:val="12F67BD0"/>
    <w:rsid w:val="140B68C9"/>
    <w:rsid w:val="15472591"/>
    <w:rsid w:val="15B91E10"/>
    <w:rsid w:val="15F234A1"/>
    <w:rsid w:val="165E6FD3"/>
    <w:rsid w:val="16752D61"/>
    <w:rsid w:val="18604191"/>
    <w:rsid w:val="18B802CE"/>
    <w:rsid w:val="18E9173F"/>
    <w:rsid w:val="1B8E5657"/>
    <w:rsid w:val="1BC55F81"/>
    <w:rsid w:val="1BCC4E83"/>
    <w:rsid w:val="1BFD3F28"/>
    <w:rsid w:val="1C0412B9"/>
    <w:rsid w:val="1C5B631C"/>
    <w:rsid w:val="1C8A18F2"/>
    <w:rsid w:val="1C9349F3"/>
    <w:rsid w:val="1CB90855"/>
    <w:rsid w:val="1E3748D4"/>
    <w:rsid w:val="1E7565AA"/>
    <w:rsid w:val="1F354044"/>
    <w:rsid w:val="1FD07BD8"/>
    <w:rsid w:val="20191436"/>
    <w:rsid w:val="20333665"/>
    <w:rsid w:val="20420D99"/>
    <w:rsid w:val="2043346F"/>
    <w:rsid w:val="21116037"/>
    <w:rsid w:val="219E042B"/>
    <w:rsid w:val="222512BF"/>
    <w:rsid w:val="2331084C"/>
    <w:rsid w:val="23442B5D"/>
    <w:rsid w:val="247E192B"/>
    <w:rsid w:val="248835E6"/>
    <w:rsid w:val="249917DD"/>
    <w:rsid w:val="24B524BC"/>
    <w:rsid w:val="273607AA"/>
    <w:rsid w:val="27E7693A"/>
    <w:rsid w:val="281F54E3"/>
    <w:rsid w:val="28410A26"/>
    <w:rsid w:val="2A2C6D1B"/>
    <w:rsid w:val="2AA3506F"/>
    <w:rsid w:val="2B691649"/>
    <w:rsid w:val="2C7C6331"/>
    <w:rsid w:val="2D9B5053"/>
    <w:rsid w:val="2F1B440C"/>
    <w:rsid w:val="2F241900"/>
    <w:rsid w:val="30686216"/>
    <w:rsid w:val="307E7ED4"/>
    <w:rsid w:val="30D50DC8"/>
    <w:rsid w:val="316E1578"/>
    <w:rsid w:val="31925CD4"/>
    <w:rsid w:val="31946621"/>
    <w:rsid w:val="31A06199"/>
    <w:rsid w:val="33132F2D"/>
    <w:rsid w:val="33A30724"/>
    <w:rsid w:val="33D942AB"/>
    <w:rsid w:val="34A6034E"/>
    <w:rsid w:val="35167112"/>
    <w:rsid w:val="355D0B52"/>
    <w:rsid w:val="359B7081"/>
    <w:rsid w:val="36034E56"/>
    <w:rsid w:val="37844B5E"/>
    <w:rsid w:val="38BD018E"/>
    <w:rsid w:val="38EE3D04"/>
    <w:rsid w:val="39290194"/>
    <w:rsid w:val="3A4527AB"/>
    <w:rsid w:val="3B5A4D42"/>
    <w:rsid w:val="3B641CF5"/>
    <w:rsid w:val="3BBF0AC3"/>
    <w:rsid w:val="3C43793A"/>
    <w:rsid w:val="3CCF2F8D"/>
    <w:rsid w:val="3ED66304"/>
    <w:rsid w:val="40863D96"/>
    <w:rsid w:val="40B36BC7"/>
    <w:rsid w:val="40D1166B"/>
    <w:rsid w:val="41076914"/>
    <w:rsid w:val="41596118"/>
    <w:rsid w:val="418A2672"/>
    <w:rsid w:val="422104B2"/>
    <w:rsid w:val="4247600A"/>
    <w:rsid w:val="428D6C68"/>
    <w:rsid w:val="42CA7F65"/>
    <w:rsid w:val="43067BA4"/>
    <w:rsid w:val="434F6D07"/>
    <w:rsid w:val="43D164E9"/>
    <w:rsid w:val="447B21CA"/>
    <w:rsid w:val="45410E79"/>
    <w:rsid w:val="458237CA"/>
    <w:rsid w:val="47777596"/>
    <w:rsid w:val="477E3A44"/>
    <w:rsid w:val="478C32E9"/>
    <w:rsid w:val="489C2EDB"/>
    <w:rsid w:val="48D134E6"/>
    <w:rsid w:val="496D5C64"/>
    <w:rsid w:val="49F9505A"/>
    <w:rsid w:val="4A3732E3"/>
    <w:rsid w:val="4AF77DBB"/>
    <w:rsid w:val="4BC557CE"/>
    <w:rsid w:val="4D6F67CC"/>
    <w:rsid w:val="4E9B5F9C"/>
    <w:rsid w:val="4EDA5A1E"/>
    <w:rsid w:val="4F4358EE"/>
    <w:rsid w:val="4F587A3C"/>
    <w:rsid w:val="4FA50444"/>
    <w:rsid w:val="5022487A"/>
    <w:rsid w:val="50F835D2"/>
    <w:rsid w:val="510F53F1"/>
    <w:rsid w:val="519E276D"/>
    <w:rsid w:val="52A16F9D"/>
    <w:rsid w:val="52B14334"/>
    <w:rsid w:val="55796932"/>
    <w:rsid w:val="561D27A6"/>
    <w:rsid w:val="57E77C62"/>
    <w:rsid w:val="58123136"/>
    <w:rsid w:val="58E31103"/>
    <w:rsid w:val="590B1850"/>
    <w:rsid w:val="594E0CB4"/>
    <w:rsid w:val="5982005C"/>
    <w:rsid w:val="59D0062F"/>
    <w:rsid w:val="5A4D0A95"/>
    <w:rsid w:val="5AB72160"/>
    <w:rsid w:val="5C201BCA"/>
    <w:rsid w:val="5EEF7E53"/>
    <w:rsid w:val="5FDA1F5E"/>
    <w:rsid w:val="60081C5C"/>
    <w:rsid w:val="62050071"/>
    <w:rsid w:val="639E3469"/>
    <w:rsid w:val="652C46EB"/>
    <w:rsid w:val="66751FCB"/>
    <w:rsid w:val="668C781F"/>
    <w:rsid w:val="66A03090"/>
    <w:rsid w:val="66C45A5B"/>
    <w:rsid w:val="66C554D4"/>
    <w:rsid w:val="66EF202A"/>
    <w:rsid w:val="68302843"/>
    <w:rsid w:val="6874484D"/>
    <w:rsid w:val="69F15AF1"/>
    <w:rsid w:val="6A4B0149"/>
    <w:rsid w:val="6BB920AC"/>
    <w:rsid w:val="6CE951FF"/>
    <w:rsid w:val="6E3E1052"/>
    <w:rsid w:val="6E9F45E3"/>
    <w:rsid w:val="6EC07C7F"/>
    <w:rsid w:val="6F0568DA"/>
    <w:rsid w:val="6F3E5612"/>
    <w:rsid w:val="6F755D3F"/>
    <w:rsid w:val="6FAC08F8"/>
    <w:rsid w:val="6FBC1304"/>
    <w:rsid w:val="72203257"/>
    <w:rsid w:val="72B00976"/>
    <w:rsid w:val="73412CEF"/>
    <w:rsid w:val="74034FD9"/>
    <w:rsid w:val="743F6D6E"/>
    <w:rsid w:val="7552420C"/>
    <w:rsid w:val="758C70A1"/>
    <w:rsid w:val="76903BA5"/>
    <w:rsid w:val="78DF1180"/>
    <w:rsid w:val="78F44540"/>
    <w:rsid w:val="79B41A78"/>
    <w:rsid w:val="7A5F77C7"/>
    <w:rsid w:val="7AA8068D"/>
    <w:rsid w:val="7B867718"/>
    <w:rsid w:val="7BF446C9"/>
    <w:rsid w:val="7C7C2B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uiPriority w:val="0"/>
    <w:pPr>
      <w:spacing w:line="360" w:lineRule="exact"/>
      <w:ind w:firstLine="420" w:firstLine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Hnet</Company>
  <Pages>3</Pages>
  <Words>2764</Words>
  <Characters>2808</Characters>
  <Lines>21</Lines>
  <Paragraphs>6</Paragraphs>
  <TotalTime>79</TotalTime>
  <ScaleCrop>false</ScaleCrop>
  <LinksUpToDate>false</LinksUpToDate>
  <CharactersWithSpaces>2930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2020-12-08T06:12:00Z</dcterms:created>
  <dc:creator>张永锋</dc:creator>
  <cp:lastModifiedBy>jjxy-zk</cp:lastModifiedBy>
  <dcterms:modified xsi:type="dcterms:W3CDTF">2023-03-29T08:07:16Z</dcterms:modified>
  <dc:title>经管学院2010届本科毕业环节管理办法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FB0141B3B2A64BF2BBD051D28FBC5834_13</vt:lpwstr>
  </property>
</Properties>
</file>