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四川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轻化工大学</w:t>
      </w:r>
    </w:p>
    <w:p>
      <w:pPr>
        <w:spacing w:after="312" w:afterLines="1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毕业设计（论文）环节管理工作程序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毕业设计（论文）的管理按照校学院二级管理模式进行。教务处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负责全校的本、专科毕业设计（论文）的宏观组织、管理工作。学生所在学院成立毕业设计（论文）领导小组，领导小组由分管教学工作和学生工作的学院领导、教研室主任、教学办公室主任、教学秘书组成，负责毕业设计（论文）的具体组织、实施、检查以及其它相关工作。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1、每年10月各学院按“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毕业设计（论文）管理规范”审核、确定毕业设计（论文）指导教师名单，组织毕业设计（论文）</w:t>
      </w:r>
      <w:bookmarkStart w:id="0" w:name="_GoBack"/>
      <w:bookmarkEnd w:id="0"/>
      <w:r>
        <w:rPr>
          <w:rFonts w:hint="eastAsia" w:ascii="宋体" w:hAnsi="宋体" w:cs="宋体-18030"/>
          <w:sz w:val="24"/>
        </w:rPr>
        <w:t>所需的场所、实验仪器设备、药品等的准备工作，以及相关的其它准备工作；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2、每年11月30日前各学院按“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学籍管理规定”审查清理毕业生的成绩情况，确定进入毕业环节的学生名单；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3、每年12月10日前各学院以教研室为单位汇总并审查毕业设计（论文）题目，向学生公布审核的毕业设计（论文）题目；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4、每年12月20日前，各学院在学生“自主选题”和“适当调节”的原则下完成毕业设计（论文）题目的选定和任务的下达（各学院由教学秘书将“毕业设计/论文”指导教师名单、学生名单、课题名称等按“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毕业设计（论文）落实情况表”汇总并交实验管理科备案）（分电子文档和纸质文档）；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5、初期检查：次年毕业设计（论文）正式进行二周后，学院毕业设计（论文）领导小组对本学院的毕业设计（论文）工作按“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毕业设计（论文）管理规范”进行检查。各学院检查结果由教学秘书交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备案。教务处将按“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毕业设计（论文）管理规范”进行抽查；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6、中期检查：毕业设计（论文）进程过半后，学院毕业设计（论文）领导小组对本学院的毕业设计（论文）工作按“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毕业设计（论文）管理规范”对毕业环节进行全面检查。各学院检查结果由教学秘书交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备案。教务处将按“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毕业设计（论文）管理规范”进行抽查；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7、后期检查：毕业设计（论文）即将结束时，学院毕业设计（论文）领导小组对本学院的毕业设计（论文）工作按“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毕业设计（论文）管理规范”进行全面检查。检查各学院结果由教学秘书交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备案。教务处将按“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毕业设计（论文）管理规范”进行抽查；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8、毕业答辩：毕业设计（论文）结束时，各学院在院长的领导下，成立由教研室主任和教师组成的毕业答辩组，可下设若干小组，按“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毕业设计（论文）管理规范”负责完成对本学院学生的毕业答辩工作和成绩评定工作。答辩中要求保存过程记录备查；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9、总结及文件归档：毕业答辩结束后二周内,毕业设计（论文）领导小组对本学院的毕业设计（论文）工作进行全面总结，并形成书面材料交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。</w:t>
      </w:r>
      <w:r>
        <w:rPr>
          <w:rFonts w:hint="eastAsia" w:ascii="宋体" w:hAnsi="宋体" w:cs="宋体-18030"/>
          <w:sz w:val="24"/>
          <w:lang w:eastAsia="zh-CN"/>
        </w:rPr>
        <w:t>教务处</w:t>
      </w:r>
      <w:r>
        <w:rPr>
          <w:rFonts w:hint="eastAsia" w:ascii="宋体" w:hAnsi="宋体" w:cs="宋体-18030"/>
          <w:sz w:val="24"/>
        </w:rPr>
        <w:t>对全校毕业环节情况进行工作总结。文件归档按“</w:t>
      </w:r>
      <w:r>
        <w:rPr>
          <w:rFonts w:hint="eastAsia" w:ascii="宋体" w:hAnsi="宋体" w:cs="宋体-18030"/>
          <w:sz w:val="24"/>
          <w:lang w:eastAsia="zh-CN"/>
        </w:rPr>
        <w:t>四川轻化工大学</w:t>
      </w:r>
      <w:r>
        <w:rPr>
          <w:rFonts w:hint="eastAsia" w:ascii="宋体" w:hAnsi="宋体" w:cs="宋体-18030"/>
          <w:sz w:val="24"/>
        </w:rPr>
        <w:t>毕业设计（论文）管理规范”进行。</w:t>
      </w:r>
    </w:p>
    <w:p>
      <w:pPr>
        <w:spacing w:line="400" w:lineRule="exact"/>
        <w:ind w:firstLine="480" w:firstLineChars="200"/>
        <w:rPr>
          <w:rFonts w:hint="eastAsia" w:ascii="宋体" w:hAnsi="宋体" w:cs="宋体-18030"/>
          <w:sz w:val="24"/>
        </w:rPr>
      </w:pPr>
    </w:p>
    <w:p>
      <w:pPr>
        <w:spacing w:line="400" w:lineRule="exact"/>
        <w:ind w:firstLine="5580" w:firstLineChars="2325"/>
        <w:rPr>
          <w:rFonts w:hint="eastAsia" w:ascii="宋体" w:hAnsi="宋体" w:cs="宋体-18030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18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修订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32AA0"/>
    <w:rsid w:val="10033755"/>
    <w:rsid w:val="202F32BD"/>
    <w:rsid w:val="24DB2767"/>
    <w:rsid w:val="2FA65118"/>
    <w:rsid w:val="6659145C"/>
    <w:rsid w:val="6D535020"/>
    <w:rsid w:val="7593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2018-03-27T07:56:00Z</dcterms:created>
  <dc:creator>曾臻</dc:creator>
  <cp:lastModifiedBy>西米伽</cp:lastModifiedBy>
  <dcterms:modified xsi:type="dcterms:W3CDTF">2020-12-02T01:52:19Z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KSORubyTemplateID" linkTarget="0">
    <vt:lpwstr>6</vt:lpwstr>
  </property>
</Properties>
</file>